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C7" w:rsidRPr="00AB78C7" w:rsidRDefault="00AB78C7" w:rsidP="00AB78C7">
      <w:r w:rsidRPr="00AB78C7">
        <w:fldChar w:fldCharType="begin"/>
      </w:r>
      <w:r w:rsidRPr="00AB78C7">
        <w:instrText xml:space="preserve"> HYPERLINK "https://www.bloomberg.com/gadfly/articles/2017-04-23/u-s-shale-s-the-wild-horse-that-opec-just-can-t-tame" </w:instrText>
      </w:r>
      <w:r w:rsidRPr="00AB78C7">
        <w:fldChar w:fldCharType="separate"/>
      </w:r>
      <w:r w:rsidRPr="00AB78C7">
        <w:rPr>
          <w:rStyle w:val="Hyperlink"/>
        </w:rPr>
        <w:t>Shale's the Wild Horse OPEC Can't Tame</w:t>
      </w:r>
      <w:r w:rsidRPr="00AB78C7">
        <w:fldChar w:fldCharType="end"/>
      </w:r>
    </w:p>
    <w:p w:rsidR="00AB78C7" w:rsidRPr="00AB78C7" w:rsidRDefault="00AB78C7" w:rsidP="00AB78C7">
      <w:r w:rsidRPr="00AB78C7">
        <w:t>Julian Lee is an oil strategist for Bloomberg First Word. Previously he worked as a senior analyst at the Centre for Global Energy Studies.</w:t>
      </w:r>
    </w:p>
    <w:p w:rsidR="00AB78C7" w:rsidRPr="00AB78C7" w:rsidRDefault="00AB78C7" w:rsidP="00AB78C7">
      <w:pPr>
        <w:rPr>
          <w:sz w:val="16"/>
          <w:szCs w:val="16"/>
        </w:rPr>
      </w:pPr>
      <w:r w:rsidRPr="00AB78C7">
        <w:rPr>
          <w:sz w:val="16"/>
          <w:szCs w:val="16"/>
        </w:rPr>
        <w:t>By </w:t>
      </w:r>
      <w:hyperlink r:id="rId5" w:history="1">
        <w:r w:rsidRPr="00AB78C7">
          <w:rPr>
            <w:rStyle w:val="Hyperlink"/>
            <w:sz w:val="16"/>
            <w:szCs w:val="16"/>
          </w:rPr>
          <w:t>Julian Lee</w:t>
        </w:r>
      </w:hyperlink>
      <w:r w:rsidRPr="00AB78C7">
        <w:rPr>
          <w:sz w:val="16"/>
          <w:szCs w:val="16"/>
        </w:rPr>
        <w:t xml:space="preserve"> April 23, 2017 3:00 AM EDT </w:t>
      </w:r>
      <w:hyperlink r:id="rId6" w:history="1">
        <w:r w:rsidRPr="00AB78C7">
          <w:rPr>
            <w:rStyle w:val="Hyperlink"/>
            <w:sz w:val="16"/>
            <w:szCs w:val="16"/>
          </w:rPr>
          <w:t>https://ww</w:t>
        </w:r>
        <w:r w:rsidRPr="00AB78C7">
          <w:rPr>
            <w:rStyle w:val="Hyperlink"/>
            <w:sz w:val="16"/>
            <w:szCs w:val="16"/>
          </w:rPr>
          <w:t>w</w:t>
        </w:r>
        <w:r w:rsidRPr="00AB78C7">
          <w:rPr>
            <w:rStyle w:val="Hyperlink"/>
            <w:sz w:val="16"/>
            <w:szCs w:val="16"/>
          </w:rPr>
          <w:t>.bloomberg.com/gadfly/articles/2017-04-23/u-s-shale-s-the-wild-horse-that-opec-just-can-t-tame</w:t>
        </w:r>
      </w:hyperlink>
    </w:p>
    <w:p w:rsidR="00AB78C7" w:rsidRPr="00DA3211" w:rsidRDefault="00AB78C7" w:rsidP="00AB78C7">
      <w:pPr>
        <w:rPr>
          <w:b/>
          <w:color w:val="800000"/>
        </w:rPr>
      </w:pPr>
      <w:r w:rsidRPr="00DA3211">
        <w:rPr>
          <w:b/>
          <w:color w:val="800000"/>
          <w:highlight w:val="yellow"/>
        </w:rPr>
        <w:t>It was all so simple. By lifting restraints on output, Saudi Arabia would stop subsidizing high-cost oil producers and halt the rapid rise in U.S. production that was eating into OPEC's market share. At least, that was the logic back in November 2014.</w:t>
      </w:r>
    </w:p>
    <w:p w:rsidR="00AB78C7" w:rsidRPr="00AB78C7" w:rsidRDefault="00AB78C7" w:rsidP="00AB78C7">
      <w:r w:rsidRPr="00DA3211">
        <w:rPr>
          <w:highlight w:val="yellow"/>
        </w:rPr>
        <w:t>But things haven't gone according to plan. OPEC's four-month experiment with production curbs has failed.</w:t>
      </w:r>
      <w:r w:rsidRPr="00AB78C7">
        <w:t xml:space="preserve"> More worryingly, the strength of shale's rebound suggests that OPEC faces a long-term struggle against this new source of supply in an industry where technological advances are the norm and today's niche play becomes the next decade's global standard.</w:t>
      </w:r>
    </w:p>
    <w:p w:rsidR="00AB78C7" w:rsidRPr="00DA3211" w:rsidRDefault="00AB78C7" w:rsidP="00AB78C7">
      <w:pPr>
        <w:rPr>
          <w:b/>
          <w:color w:val="800000"/>
        </w:rPr>
      </w:pPr>
      <w:r w:rsidRPr="00DA3211">
        <w:rPr>
          <w:b/>
          <w:color w:val="800000"/>
          <w:highlight w:val="yellow"/>
        </w:rPr>
        <w:t>Even when the group restored production curbs last year, Saudi Energy Minister Khalid al-</w:t>
      </w:r>
      <w:proofErr w:type="spellStart"/>
      <w:r w:rsidRPr="00DA3211">
        <w:rPr>
          <w:b/>
          <w:color w:val="800000"/>
          <w:highlight w:val="yellow"/>
        </w:rPr>
        <w:t>Falih</w:t>
      </w:r>
      <w:proofErr w:type="spellEnd"/>
      <w:r w:rsidRPr="00DA3211">
        <w:rPr>
          <w:b/>
          <w:color w:val="800000"/>
          <w:highlight w:val="yellow"/>
        </w:rPr>
        <w:t xml:space="preserve"> said he didn’t expect a big supply response from American shale producers in 2017. In fact, it turns out that response had already begun, and it is much stronger than anyone had expected.</w:t>
      </w:r>
    </w:p>
    <w:p w:rsidR="00AB78C7" w:rsidRPr="00AB78C7" w:rsidRDefault="00DA3211" w:rsidP="00AB78C7">
      <w:r>
        <w:rPr>
          <w:noProof/>
        </w:rPr>
        <w:drawing>
          <wp:inline distT="0" distB="0" distL="0" distR="0" wp14:anchorId="272C60B2" wp14:editId="7FE11C7C">
            <wp:extent cx="5943600" cy="2907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07665"/>
                    </a:xfrm>
                    <a:prstGeom prst="rect">
                      <a:avLst/>
                    </a:prstGeom>
                  </pic:spPr>
                </pic:pic>
              </a:graphicData>
            </a:graphic>
          </wp:inline>
        </w:drawing>
      </w:r>
      <w:r w:rsidR="00AB78C7" w:rsidRPr="001F0179">
        <w:rPr>
          <w:highlight w:val="yellow"/>
        </w:rPr>
        <w:t>Total U.S. crude production has risen by more than 550,000 barrels a day in the 20 weeks since OPEC decided to cut output, according to weekly Department of Energy data.</w:t>
      </w:r>
      <w:r w:rsidR="00AB78C7" w:rsidRPr="00AB78C7">
        <w:t xml:space="preserve"> Much of that increase has come from shale formations. If this rate of growth -- a little under 30,000 barrels a day of new supply each week -- continues, U.S. output could top its recent peak of 9.61 million barrels a day shortly after OPEC meets on May 25 to consider its next move.</w:t>
      </w:r>
    </w:p>
    <w:p w:rsidR="00AB78C7" w:rsidRPr="00781ECD" w:rsidRDefault="00AB78C7" w:rsidP="00AB78C7">
      <w:pPr>
        <w:rPr>
          <w:b/>
        </w:rPr>
      </w:pPr>
      <w:r w:rsidRPr="00781ECD">
        <w:rPr>
          <w:b/>
        </w:rPr>
        <w:t>That is bad enough for OPEC producers, but the picture just gets worse for them each month. The DoE publishes a monthly outlook and its views on domestic production are evolving rapidly -- and not in a way that suits OPEC.</w:t>
      </w:r>
    </w:p>
    <w:p w:rsidR="00AB78C7" w:rsidRPr="00AB78C7" w:rsidRDefault="00AB78C7" w:rsidP="00AB78C7">
      <w:r w:rsidRPr="00AB78C7">
        <w:lastRenderedPageBreak/>
        <w:t>Its latest forecast, published on April 11, pegs U.S. oil production at 9.24 million barrels a day by July. That is half a million barrels a day higher than it was forecasting for that month in November 2016, just before OPEC decided to restore output restraint. Its outlook for December 2017 has increased by 700,000 barrels a day over the same period.</w:t>
      </w:r>
    </w:p>
    <w:p w:rsidR="00AB78C7" w:rsidRPr="00AB78C7" w:rsidRDefault="00AB78C7" w:rsidP="00AB78C7">
      <w:r w:rsidRPr="00AB78C7">
        <w:t>ACCELERATING GROWTH</w:t>
      </w:r>
    </w:p>
    <w:p w:rsidR="00DA3211" w:rsidRDefault="00DA3211" w:rsidP="00AB78C7">
      <w:r>
        <w:rPr>
          <w:noProof/>
        </w:rPr>
        <w:drawing>
          <wp:inline distT="0" distB="0" distL="0" distR="0" wp14:anchorId="084E90A9" wp14:editId="4F48C6A9">
            <wp:extent cx="5943600" cy="3562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2350"/>
                    </a:xfrm>
                    <a:prstGeom prst="rect">
                      <a:avLst/>
                    </a:prstGeom>
                  </pic:spPr>
                </pic:pic>
              </a:graphicData>
            </a:graphic>
          </wp:inline>
        </w:drawing>
      </w:r>
    </w:p>
    <w:p w:rsidR="00AB78C7" w:rsidRPr="00AB78C7" w:rsidRDefault="00AB78C7" w:rsidP="00AB78C7">
      <w:r w:rsidRPr="00AB78C7">
        <w:t>The Energy Information Administration now sees U.S. production rising by 860,000 barrels a day in the 12 months to December 2017, compared with an increase of 210,000 barrels a day that it forecast in November.</w:t>
      </w:r>
    </w:p>
    <w:p w:rsidR="00AB78C7" w:rsidRPr="00AB78C7" w:rsidRDefault="00AB78C7" w:rsidP="00AB78C7">
      <w:r w:rsidRPr="00781ECD">
        <w:rPr>
          <w:b/>
          <w:color w:val="800000"/>
          <w:highlight w:val="yellow"/>
        </w:rPr>
        <w:t>What should be even more worrying for OPEC is that the stronger outlook for U.S. production has little to do with higher price expectations.</w:t>
      </w:r>
      <w:r w:rsidRPr="00781ECD">
        <w:rPr>
          <w:color w:val="800000"/>
        </w:rPr>
        <w:t xml:space="preserve"> </w:t>
      </w:r>
      <w:r w:rsidRPr="00AB78C7">
        <w:t>Back in November the EIA assumed an average 2017 WTI price of $49.92 per barrel. That estimate has risen to just $52.28 in this month's forecast.</w:t>
      </w:r>
    </w:p>
    <w:p w:rsidR="00AB78C7" w:rsidRPr="00AB78C7" w:rsidRDefault="00AB78C7" w:rsidP="00AB78C7">
      <w:r w:rsidRPr="00AB78C7">
        <w:t>The producer group may be able to drain some of the excess oil inventory by extending its output cuts through the second half of the year. Although spectacular, the rise in U.S. output will not be enough to offset lower OPEC flows as refiners boost runs to meet summer gasoline demand.</w:t>
      </w:r>
    </w:p>
    <w:p w:rsidR="00AB78C7" w:rsidRPr="00AB78C7" w:rsidRDefault="00AB78C7" w:rsidP="00AB78C7">
      <w:r w:rsidRPr="000C4884">
        <w:rPr>
          <w:highlight w:val="yellow"/>
        </w:rPr>
        <w:t xml:space="preserve">However, compliance with the cuts may already have been as good it gets. Indeed many OPEC members will find restraint more challenging in the second half of the year. Several have reached their lower targets so far by bringing forward field maintenance, which they won't need to repeat later in the year. Saudi Arabia will also have a tougher time -- its supply cuts came when domestic demand was already at a seasonal low. This demand will pick up as summer </w:t>
      </w:r>
      <w:r w:rsidRPr="000C4884">
        <w:rPr>
          <w:highlight w:val="yellow"/>
        </w:rPr>
        <w:lastRenderedPageBreak/>
        <w:t>temperatures rise, so continued output restraint will have a much bigger impact on the export revenues the kingdom depends upon.</w:t>
      </w:r>
    </w:p>
    <w:p w:rsidR="00AB78C7" w:rsidRPr="000C4884" w:rsidRDefault="00DA3211" w:rsidP="00AB78C7">
      <w:pPr>
        <w:rPr>
          <w:b/>
          <w:color w:val="800000"/>
          <w:highlight w:val="yellow"/>
        </w:rPr>
      </w:pPr>
      <w:r>
        <w:rPr>
          <w:noProof/>
        </w:rPr>
        <w:drawing>
          <wp:inline distT="0" distB="0" distL="0" distR="0" wp14:anchorId="7F64D387" wp14:editId="2BA9188C">
            <wp:extent cx="5943600" cy="2785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785110"/>
                    </a:xfrm>
                    <a:prstGeom prst="rect">
                      <a:avLst/>
                    </a:prstGeom>
                  </pic:spPr>
                </pic:pic>
              </a:graphicData>
            </a:graphic>
          </wp:inline>
        </w:drawing>
      </w:r>
      <w:r w:rsidR="00AB78C7" w:rsidRPr="000C4884">
        <w:rPr>
          <w:highlight w:val="yellow"/>
        </w:rPr>
        <w:t>But the worry for OPEC goes well beyond the current market imbalance. The shale industry is in its infancy. True, the techniques of horizontal drilling and hydraulic fracturing have been used in the oil industry for decades, but their widespread application to shale formations is not much more than five years old.</w:t>
      </w:r>
      <w:r w:rsidR="00AB78C7" w:rsidRPr="00AB78C7">
        <w:t xml:space="preserve"> What should really be giving OPEC oil ministers sleepless nights are the parallels between shale and other industry sectors. </w:t>
      </w:r>
      <w:r w:rsidR="00AB78C7" w:rsidRPr="000C4884">
        <w:rPr>
          <w:b/>
          <w:color w:val="800000"/>
          <w:highlight w:val="yellow"/>
        </w:rPr>
        <w:t>It would be extremely rash to assume that advances in technology and geographical spread that we have seen in deep-water oil production, for example, will not apply to the shale sector.</w:t>
      </w:r>
    </w:p>
    <w:p w:rsidR="003F4CAD" w:rsidRPr="000C4884" w:rsidRDefault="00AB78C7">
      <w:pPr>
        <w:rPr>
          <w:b/>
          <w:color w:val="800000"/>
        </w:rPr>
      </w:pPr>
      <w:r w:rsidRPr="000C4884">
        <w:rPr>
          <w:b/>
          <w:color w:val="800000"/>
          <w:highlight w:val="yellow"/>
        </w:rPr>
        <w:t xml:space="preserve">OPEC's battle with shale has only just begun and initial evidence suggests it may already have </w:t>
      </w:r>
      <w:bookmarkStart w:id="0" w:name="_GoBack"/>
      <w:bookmarkEnd w:id="0"/>
      <w:r w:rsidRPr="000C4884">
        <w:rPr>
          <w:b/>
          <w:color w:val="800000"/>
          <w:highlight w:val="yellow"/>
        </w:rPr>
        <w:t>been lost.</w:t>
      </w:r>
    </w:p>
    <w:sectPr w:rsidR="003F4CAD" w:rsidRPr="000C4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043E"/>
    <w:multiLevelType w:val="multilevel"/>
    <w:tmpl w:val="DBFC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C7"/>
    <w:rsid w:val="000C4884"/>
    <w:rsid w:val="001F0179"/>
    <w:rsid w:val="003F4CAD"/>
    <w:rsid w:val="00781ECD"/>
    <w:rsid w:val="00786345"/>
    <w:rsid w:val="00AB78C7"/>
    <w:rsid w:val="00DA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38F9B-438C-45C1-A751-A4F44625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8C7"/>
    <w:rPr>
      <w:color w:val="0563C1" w:themeColor="hyperlink"/>
      <w:u w:val="single"/>
    </w:rPr>
  </w:style>
  <w:style w:type="character" w:styleId="FollowedHyperlink">
    <w:name w:val="FollowedHyperlink"/>
    <w:basedOn w:val="DefaultParagraphFont"/>
    <w:uiPriority w:val="99"/>
    <w:semiHidden/>
    <w:unhideWhenUsed/>
    <w:rsid w:val="00AB7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383529">
      <w:bodyDiv w:val="1"/>
      <w:marLeft w:val="0"/>
      <w:marRight w:val="0"/>
      <w:marTop w:val="0"/>
      <w:marBottom w:val="0"/>
      <w:divBdr>
        <w:top w:val="none" w:sz="0" w:space="0" w:color="auto"/>
        <w:left w:val="none" w:sz="0" w:space="0" w:color="auto"/>
        <w:bottom w:val="none" w:sz="0" w:space="0" w:color="auto"/>
        <w:right w:val="none" w:sz="0" w:space="0" w:color="auto"/>
      </w:divBdr>
      <w:divsChild>
        <w:div w:id="1416784744">
          <w:marLeft w:val="0"/>
          <w:marRight w:val="0"/>
          <w:marTop w:val="0"/>
          <w:marBottom w:val="0"/>
          <w:divBdr>
            <w:top w:val="none" w:sz="0" w:space="0" w:color="auto"/>
            <w:left w:val="none" w:sz="0" w:space="0" w:color="auto"/>
            <w:bottom w:val="none" w:sz="0" w:space="0" w:color="auto"/>
            <w:right w:val="none" w:sz="0" w:space="0" w:color="auto"/>
          </w:divBdr>
          <w:divsChild>
            <w:div w:id="598417127">
              <w:marLeft w:val="0"/>
              <w:marRight w:val="0"/>
              <w:marTop w:val="0"/>
              <w:marBottom w:val="0"/>
              <w:divBdr>
                <w:top w:val="none" w:sz="0" w:space="0" w:color="auto"/>
                <w:left w:val="none" w:sz="0" w:space="0" w:color="auto"/>
                <w:bottom w:val="none" w:sz="0" w:space="0" w:color="auto"/>
                <w:right w:val="none" w:sz="0" w:space="0" w:color="auto"/>
              </w:divBdr>
              <w:divsChild>
                <w:div w:id="1287278311">
                  <w:marLeft w:val="0"/>
                  <w:marRight w:val="0"/>
                  <w:marTop w:val="0"/>
                  <w:marBottom w:val="0"/>
                  <w:divBdr>
                    <w:top w:val="none" w:sz="0" w:space="0" w:color="auto"/>
                    <w:left w:val="none" w:sz="0" w:space="0" w:color="auto"/>
                    <w:bottom w:val="none" w:sz="0" w:space="0" w:color="auto"/>
                    <w:right w:val="none" w:sz="0" w:space="0" w:color="auto"/>
                  </w:divBdr>
                  <w:divsChild>
                    <w:div w:id="1917278903">
                      <w:marLeft w:val="0"/>
                      <w:marRight w:val="0"/>
                      <w:marTop w:val="0"/>
                      <w:marBottom w:val="0"/>
                      <w:divBdr>
                        <w:top w:val="none" w:sz="0" w:space="0" w:color="auto"/>
                        <w:left w:val="none" w:sz="0" w:space="0" w:color="auto"/>
                        <w:bottom w:val="none" w:sz="0" w:space="0" w:color="auto"/>
                        <w:right w:val="none" w:sz="0" w:space="0" w:color="auto"/>
                      </w:divBdr>
                      <w:divsChild>
                        <w:div w:id="7656617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49502327">
              <w:marLeft w:val="0"/>
              <w:marRight w:val="0"/>
              <w:marTop w:val="0"/>
              <w:marBottom w:val="0"/>
              <w:divBdr>
                <w:top w:val="none" w:sz="0" w:space="0" w:color="auto"/>
                <w:left w:val="none" w:sz="0" w:space="0" w:color="auto"/>
                <w:bottom w:val="none" w:sz="0" w:space="0" w:color="auto"/>
                <w:right w:val="none" w:sz="0" w:space="0" w:color="auto"/>
              </w:divBdr>
              <w:divsChild>
                <w:div w:id="698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7841">
          <w:marLeft w:val="0"/>
          <w:marRight w:val="0"/>
          <w:marTop w:val="0"/>
          <w:marBottom w:val="0"/>
          <w:divBdr>
            <w:top w:val="none" w:sz="0" w:space="0" w:color="auto"/>
            <w:left w:val="none" w:sz="0" w:space="0" w:color="auto"/>
            <w:bottom w:val="none" w:sz="0" w:space="0" w:color="auto"/>
            <w:right w:val="none" w:sz="0" w:space="0" w:color="auto"/>
          </w:divBdr>
          <w:divsChild>
            <w:div w:id="1700743417">
              <w:marLeft w:val="0"/>
              <w:marRight w:val="750"/>
              <w:marTop w:val="0"/>
              <w:marBottom w:val="0"/>
              <w:divBdr>
                <w:top w:val="none" w:sz="0" w:space="0" w:color="auto"/>
                <w:left w:val="none" w:sz="0" w:space="0" w:color="auto"/>
                <w:bottom w:val="none" w:sz="0" w:space="0" w:color="auto"/>
                <w:right w:val="none" w:sz="0" w:space="0" w:color="auto"/>
              </w:divBdr>
              <w:divsChild>
                <w:div w:id="271666336">
                  <w:marLeft w:val="0"/>
                  <w:marRight w:val="0"/>
                  <w:marTop w:val="0"/>
                  <w:marBottom w:val="0"/>
                  <w:divBdr>
                    <w:top w:val="none" w:sz="0" w:space="0" w:color="auto"/>
                    <w:left w:val="none" w:sz="0" w:space="0" w:color="auto"/>
                    <w:bottom w:val="none" w:sz="0" w:space="0" w:color="auto"/>
                    <w:right w:val="none" w:sz="0" w:space="0" w:color="auto"/>
                  </w:divBdr>
                  <w:divsChild>
                    <w:div w:id="1812672699">
                      <w:marLeft w:val="0"/>
                      <w:marRight w:val="0"/>
                      <w:marTop w:val="0"/>
                      <w:marBottom w:val="750"/>
                      <w:divBdr>
                        <w:top w:val="none" w:sz="0" w:space="0" w:color="auto"/>
                        <w:left w:val="none" w:sz="0" w:space="0" w:color="auto"/>
                        <w:bottom w:val="none" w:sz="0" w:space="0" w:color="auto"/>
                        <w:right w:val="none" w:sz="0" w:space="0" w:color="auto"/>
                      </w:divBdr>
                      <w:divsChild>
                        <w:div w:id="2520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6414">
                  <w:marLeft w:val="-1050"/>
                  <w:marRight w:val="0"/>
                  <w:marTop w:val="1500"/>
                  <w:marBottom w:val="0"/>
                  <w:divBdr>
                    <w:top w:val="none" w:sz="0" w:space="0" w:color="auto"/>
                    <w:left w:val="none" w:sz="0" w:space="0" w:color="auto"/>
                    <w:bottom w:val="none" w:sz="0" w:space="0" w:color="auto"/>
                    <w:right w:val="none" w:sz="0" w:space="0" w:color="auto"/>
                  </w:divBdr>
                </w:div>
              </w:divsChild>
            </w:div>
            <w:div w:id="608438521">
              <w:marLeft w:val="5370"/>
              <w:marRight w:val="0"/>
              <w:marTop w:val="0"/>
              <w:marBottom w:val="0"/>
              <w:divBdr>
                <w:top w:val="none" w:sz="0" w:space="0" w:color="auto"/>
                <w:left w:val="none" w:sz="0" w:space="0" w:color="auto"/>
                <w:bottom w:val="none" w:sz="0" w:space="0" w:color="auto"/>
                <w:right w:val="none" w:sz="0" w:space="0" w:color="auto"/>
              </w:divBdr>
              <w:divsChild>
                <w:div w:id="225839749">
                  <w:marLeft w:val="0"/>
                  <w:marRight w:val="0"/>
                  <w:marTop w:val="0"/>
                  <w:marBottom w:val="480"/>
                  <w:divBdr>
                    <w:top w:val="none" w:sz="0" w:space="0" w:color="auto"/>
                    <w:left w:val="none" w:sz="0" w:space="0" w:color="auto"/>
                    <w:bottom w:val="none" w:sz="0" w:space="0" w:color="auto"/>
                    <w:right w:val="none" w:sz="0" w:space="0" w:color="auto"/>
                  </w:divBdr>
                </w:div>
                <w:div w:id="179245445">
                  <w:marLeft w:val="0"/>
                  <w:marRight w:val="0"/>
                  <w:marTop w:val="0"/>
                  <w:marBottom w:val="0"/>
                  <w:divBdr>
                    <w:top w:val="none" w:sz="0" w:space="0" w:color="auto"/>
                    <w:left w:val="none" w:sz="0" w:space="0" w:color="auto"/>
                    <w:bottom w:val="none" w:sz="0" w:space="0" w:color="auto"/>
                    <w:right w:val="none" w:sz="0" w:space="0" w:color="auto"/>
                  </w:divBdr>
                  <w:divsChild>
                    <w:div w:id="718940370">
                      <w:marLeft w:val="0"/>
                      <w:marRight w:val="0"/>
                      <w:marTop w:val="0"/>
                      <w:marBottom w:val="0"/>
                      <w:divBdr>
                        <w:top w:val="none" w:sz="0" w:space="0" w:color="auto"/>
                        <w:left w:val="none" w:sz="0" w:space="0" w:color="auto"/>
                        <w:bottom w:val="none" w:sz="0" w:space="0" w:color="auto"/>
                        <w:right w:val="none" w:sz="0" w:space="0" w:color="auto"/>
                      </w:divBdr>
                    </w:div>
                    <w:div w:id="203643660">
                      <w:marLeft w:val="0"/>
                      <w:marRight w:val="0"/>
                      <w:marTop w:val="0"/>
                      <w:marBottom w:val="0"/>
                      <w:divBdr>
                        <w:top w:val="none" w:sz="0" w:space="0" w:color="auto"/>
                        <w:left w:val="none" w:sz="0" w:space="0" w:color="auto"/>
                        <w:bottom w:val="none" w:sz="0" w:space="0" w:color="auto"/>
                        <w:right w:val="none" w:sz="0" w:space="0" w:color="auto"/>
                      </w:divBdr>
                    </w:div>
                    <w:div w:id="1912080476">
                      <w:marLeft w:val="0"/>
                      <w:marRight w:val="0"/>
                      <w:marTop w:val="0"/>
                      <w:marBottom w:val="0"/>
                      <w:divBdr>
                        <w:top w:val="none" w:sz="0" w:space="0" w:color="auto"/>
                        <w:left w:val="none" w:sz="0" w:space="0" w:color="auto"/>
                        <w:bottom w:val="none" w:sz="0" w:space="0" w:color="auto"/>
                        <w:right w:val="none" w:sz="0" w:space="0" w:color="auto"/>
                      </w:divBdr>
                    </w:div>
                    <w:div w:id="1125542896">
                      <w:marLeft w:val="0"/>
                      <w:marRight w:val="0"/>
                      <w:marTop w:val="0"/>
                      <w:marBottom w:val="0"/>
                      <w:divBdr>
                        <w:top w:val="none" w:sz="0" w:space="0" w:color="auto"/>
                        <w:left w:val="none" w:sz="0" w:space="0" w:color="auto"/>
                        <w:bottom w:val="none" w:sz="0" w:space="0" w:color="auto"/>
                        <w:right w:val="none" w:sz="0" w:space="0" w:color="auto"/>
                      </w:divBdr>
                    </w:div>
                    <w:div w:id="1812749578">
                      <w:marLeft w:val="0"/>
                      <w:marRight w:val="0"/>
                      <w:marTop w:val="0"/>
                      <w:marBottom w:val="150"/>
                      <w:divBdr>
                        <w:top w:val="none" w:sz="0" w:space="0" w:color="auto"/>
                        <w:left w:val="none" w:sz="0" w:space="0" w:color="auto"/>
                        <w:bottom w:val="none" w:sz="0" w:space="0" w:color="auto"/>
                        <w:right w:val="none" w:sz="0" w:space="0" w:color="auto"/>
                      </w:divBdr>
                    </w:div>
                    <w:div w:id="1909265674">
                      <w:marLeft w:val="0"/>
                      <w:marRight w:val="0"/>
                      <w:marTop w:val="0"/>
                      <w:marBottom w:val="0"/>
                      <w:divBdr>
                        <w:top w:val="none" w:sz="0" w:space="0" w:color="auto"/>
                        <w:left w:val="none" w:sz="0" w:space="0" w:color="auto"/>
                        <w:bottom w:val="none" w:sz="0" w:space="0" w:color="auto"/>
                        <w:right w:val="none" w:sz="0" w:space="0" w:color="auto"/>
                      </w:divBdr>
                    </w:div>
                    <w:div w:id="1003246558">
                      <w:marLeft w:val="0"/>
                      <w:marRight w:val="0"/>
                      <w:marTop w:val="0"/>
                      <w:marBottom w:val="0"/>
                      <w:divBdr>
                        <w:top w:val="none" w:sz="0" w:space="0" w:color="auto"/>
                        <w:left w:val="none" w:sz="0" w:space="0" w:color="auto"/>
                        <w:bottom w:val="none" w:sz="0" w:space="0" w:color="auto"/>
                        <w:right w:val="none" w:sz="0" w:space="0" w:color="auto"/>
                      </w:divBdr>
                    </w:div>
                    <w:div w:id="14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5342">
      <w:bodyDiv w:val="1"/>
      <w:marLeft w:val="0"/>
      <w:marRight w:val="0"/>
      <w:marTop w:val="0"/>
      <w:marBottom w:val="0"/>
      <w:divBdr>
        <w:top w:val="none" w:sz="0" w:space="0" w:color="auto"/>
        <w:left w:val="none" w:sz="0" w:space="0" w:color="auto"/>
        <w:bottom w:val="none" w:sz="0" w:space="0" w:color="auto"/>
        <w:right w:val="none" w:sz="0" w:space="0" w:color="auto"/>
      </w:divBdr>
      <w:divsChild>
        <w:div w:id="507714624">
          <w:marLeft w:val="0"/>
          <w:marRight w:val="0"/>
          <w:marTop w:val="0"/>
          <w:marBottom w:val="0"/>
          <w:divBdr>
            <w:top w:val="none" w:sz="0" w:space="0" w:color="auto"/>
            <w:left w:val="none" w:sz="0" w:space="0" w:color="auto"/>
            <w:bottom w:val="none" w:sz="0" w:space="0" w:color="auto"/>
            <w:right w:val="none" w:sz="0" w:space="0" w:color="auto"/>
          </w:divBdr>
          <w:divsChild>
            <w:div w:id="436218420">
              <w:marLeft w:val="0"/>
              <w:marRight w:val="0"/>
              <w:marTop w:val="0"/>
              <w:marBottom w:val="0"/>
              <w:divBdr>
                <w:top w:val="none" w:sz="0" w:space="0" w:color="auto"/>
                <w:left w:val="none" w:sz="0" w:space="0" w:color="auto"/>
                <w:bottom w:val="none" w:sz="0" w:space="0" w:color="auto"/>
                <w:right w:val="none" w:sz="0" w:space="0" w:color="auto"/>
              </w:divBdr>
              <w:divsChild>
                <w:div w:id="1106920997">
                  <w:marLeft w:val="0"/>
                  <w:marRight w:val="0"/>
                  <w:marTop w:val="0"/>
                  <w:marBottom w:val="0"/>
                  <w:divBdr>
                    <w:top w:val="none" w:sz="0" w:space="0" w:color="auto"/>
                    <w:left w:val="none" w:sz="0" w:space="0" w:color="auto"/>
                    <w:bottom w:val="none" w:sz="0" w:space="0" w:color="auto"/>
                    <w:right w:val="none" w:sz="0" w:space="0" w:color="auto"/>
                  </w:divBdr>
                  <w:divsChild>
                    <w:div w:id="1844588879">
                      <w:marLeft w:val="0"/>
                      <w:marRight w:val="0"/>
                      <w:marTop w:val="0"/>
                      <w:marBottom w:val="0"/>
                      <w:divBdr>
                        <w:top w:val="none" w:sz="0" w:space="0" w:color="auto"/>
                        <w:left w:val="none" w:sz="0" w:space="0" w:color="auto"/>
                        <w:bottom w:val="none" w:sz="0" w:space="0" w:color="auto"/>
                        <w:right w:val="none" w:sz="0" w:space="0" w:color="auto"/>
                      </w:divBdr>
                      <w:divsChild>
                        <w:div w:id="558974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00563211">
              <w:marLeft w:val="0"/>
              <w:marRight w:val="0"/>
              <w:marTop w:val="0"/>
              <w:marBottom w:val="0"/>
              <w:divBdr>
                <w:top w:val="none" w:sz="0" w:space="0" w:color="auto"/>
                <w:left w:val="none" w:sz="0" w:space="0" w:color="auto"/>
                <w:bottom w:val="none" w:sz="0" w:space="0" w:color="auto"/>
                <w:right w:val="none" w:sz="0" w:space="0" w:color="auto"/>
              </w:divBdr>
              <w:divsChild>
                <w:div w:id="44350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3385">
          <w:marLeft w:val="0"/>
          <w:marRight w:val="0"/>
          <w:marTop w:val="0"/>
          <w:marBottom w:val="0"/>
          <w:divBdr>
            <w:top w:val="none" w:sz="0" w:space="0" w:color="auto"/>
            <w:left w:val="none" w:sz="0" w:space="0" w:color="auto"/>
            <w:bottom w:val="none" w:sz="0" w:space="0" w:color="auto"/>
            <w:right w:val="none" w:sz="0" w:space="0" w:color="auto"/>
          </w:divBdr>
          <w:divsChild>
            <w:div w:id="1033652288">
              <w:marLeft w:val="0"/>
              <w:marRight w:val="750"/>
              <w:marTop w:val="0"/>
              <w:marBottom w:val="0"/>
              <w:divBdr>
                <w:top w:val="none" w:sz="0" w:space="0" w:color="auto"/>
                <w:left w:val="none" w:sz="0" w:space="0" w:color="auto"/>
                <w:bottom w:val="none" w:sz="0" w:space="0" w:color="auto"/>
                <w:right w:val="none" w:sz="0" w:space="0" w:color="auto"/>
              </w:divBdr>
              <w:divsChild>
                <w:div w:id="1987275325">
                  <w:marLeft w:val="0"/>
                  <w:marRight w:val="0"/>
                  <w:marTop w:val="0"/>
                  <w:marBottom w:val="0"/>
                  <w:divBdr>
                    <w:top w:val="none" w:sz="0" w:space="0" w:color="auto"/>
                    <w:left w:val="none" w:sz="0" w:space="0" w:color="auto"/>
                    <w:bottom w:val="none" w:sz="0" w:space="0" w:color="auto"/>
                    <w:right w:val="none" w:sz="0" w:space="0" w:color="auto"/>
                  </w:divBdr>
                  <w:divsChild>
                    <w:div w:id="99418926">
                      <w:marLeft w:val="0"/>
                      <w:marRight w:val="0"/>
                      <w:marTop w:val="0"/>
                      <w:marBottom w:val="750"/>
                      <w:divBdr>
                        <w:top w:val="none" w:sz="0" w:space="0" w:color="auto"/>
                        <w:left w:val="none" w:sz="0" w:space="0" w:color="auto"/>
                        <w:bottom w:val="none" w:sz="0" w:space="0" w:color="auto"/>
                        <w:right w:val="none" w:sz="0" w:space="0" w:color="auto"/>
                      </w:divBdr>
                      <w:divsChild>
                        <w:div w:id="1611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5812">
                  <w:marLeft w:val="-1050"/>
                  <w:marRight w:val="0"/>
                  <w:marTop w:val="1500"/>
                  <w:marBottom w:val="0"/>
                  <w:divBdr>
                    <w:top w:val="none" w:sz="0" w:space="0" w:color="auto"/>
                    <w:left w:val="none" w:sz="0" w:space="0" w:color="auto"/>
                    <w:bottom w:val="none" w:sz="0" w:space="0" w:color="auto"/>
                    <w:right w:val="none" w:sz="0" w:space="0" w:color="auto"/>
                  </w:divBdr>
                </w:div>
              </w:divsChild>
            </w:div>
            <w:div w:id="1752040503">
              <w:marLeft w:val="5370"/>
              <w:marRight w:val="0"/>
              <w:marTop w:val="0"/>
              <w:marBottom w:val="0"/>
              <w:divBdr>
                <w:top w:val="none" w:sz="0" w:space="0" w:color="auto"/>
                <w:left w:val="none" w:sz="0" w:space="0" w:color="auto"/>
                <w:bottom w:val="none" w:sz="0" w:space="0" w:color="auto"/>
                <w:right w:val="none" w:sz="0" w:space="0" w:color="auto"/>
              </w:divBdr>
              <w:divsChild>
                <w:div w:id="1832604115">
                  <w:marLeft w:val="0"/>
                  <w:marRight w:val="0"/>
                  <w:marTop w:val="0"/>
                  <w:marBottom w:val="480"/>
                  <w:divBdr>
                    <w:top w:val="none" w:sz="0" w:space="0" w:color="auto"/>
                    <w:left w:val="none" w:sz="0" w:space="0" w:color="auto"/>
                    <w:bottom w:val="none" w:sz="0" w:space="0" w:color="auto"/>
                    <w:right w:val="none" w:sz="0" w:space="0" w:color="auto"/>
                  </w:divBdr>
                </w:div>
                <w:div w:id="106197393">
                  <w:marLeft w:val="0"/>
                  <w:marRight w:val="0"/>
                  <w:marTop w:val="0"/>
                  <w:marBottom w:val="0"/>
                  <w:divBdr>
                    <w:top w:val="none" w:sz="0" w:space="0" w:color="auto"/>
                    <w:left w:val="none" w:sz="0" w:space="0" w:color="auto"/>
                    <w:bottom w:val="none" w:sz="0" w:space="0" w:color="auto"/>
                    <w:right w:val="none" w:sz="0" w:space="0" w:color="auto"/>
                  </w:divBdr>
                  <w:divsChild>
                    <w:div w:id="584919036">
                      <w:marLeft w:val="0"/>
                      <w:marRight w:val="0"/>
                      <w:marTop w:val="0"/>
                      <w:marBottom w:val="0"/>
                      <w:divBdr>
                        <w:top w:val="none" w:sz="0" w:space="0" w:color="auto"/>
                        <w:left w:val="none" w:sz="0" w:space="0" w:color="auto"/>
                        <w:bottom w:val="none" w:sz="0" w:space="0" w:color="auto"/>
                        <w:right w:val="none" w:sz="0" w:space="0" w:color="auto"/>
                      </w:divBdr>
                    </w:div>
                    <w:div w:id="2042824153">
                      <w:marLeft w:val="0"/>
                      <w:marRight w:val="0"/>
                      <w:marTop w:val="0"/>
                      <w:marBottom w:val="0"/>
                      <w:divBdr>
                        <w:top w:val="none" w:sz="0" w:space="0" w:color="auto"/>
                        <w:left w:val="none" w:sz="0" w:space="0" w:color="auto"/>
                        <w:bottom w:val="none" w:sz="0" w:space="0" w:color="auto"/>
                        <w:right w:val="none" w:sz="0" w:space="0" w:color="auto"/>
                      </w:divBdr>
                    </w:div>
                    <w:div w:id="1285960360">
                      <w:marLeft w:val="0"/>
                      <w:marRight w:val="0"/>
                      <w:marTop w:val="0"/>
                      <w:marBottom w:val="0"/>
                      <w:divBdr>
                        <w:top w:val="none" w:sz="0" w:space="0" w:color="auto"/>
                        <w:left w:val="none" w:sz="0" w:space="0" w:color="auto"/>
                        <w:bottom w:val="none" w:sz="0" w:space="0" w:color="auto"/>
                        <w:right w:val="none" w:sz="0" w:space="0" w:color="auto"/>
                      </w:divBdr>
                    </w:div>
                    <w:div w:id="2053650392">
                      <w:marLeft w:val="0"/>
                      <w:marRight w:val="0"/>
                      <w:marTop w:val="0"/>
                      <w:marBottom w:val="0"/>
                      <w:divBdr>
                        <w:top w:val="none" w:sz="0" w:space="0" w:color="auto"/>
                        <w:left w:val="none" w:sz="0" w:space="0" w:color="auto"/>
                        <w:bottom w:val="none" w:sz="0" w:space="0" w:color="auto"/>
                        <w:right w:val="none" w:sz="0" w:space="0" w:color="auto"/>
                      </w:divBdr>
                    </w:div>
                    <w:div w:id="53086875">
                      <w:marLeft w:val="0"/>
                      <w:marRight w:val="0"/>
                      <w:marTop w:val="0"/>
                      <w:marBottom w:val="150"/>
                      <w:divBdr>
                        <w:top w:val="none" w:sz="0" w:space="0" w:color="auto"/>
                        <w:left w:val="none" w:sz="0" w:space="0" w:color="auto"/>
                        <w:bottom w:val="none" w:sz="0" w:space="0" w:color="auto"/>
                        <w:right w:val="none" w:sz="0" w:space="0" w:color="auto"/>
                      </w:divBdr>
                    </w:div>
                    <w:div w:id="1525094952">
                      <w:marLeft w:val="0"/>
                      <w:marRight w:val="0"/>
                      <w:marTop w:val="0"/>
                      <w:marBottom w:val="0"/>
                      <w:divBdr>
                        <w:top w:val="none" w:sz="0" w:space="0" w:color="auto"/>
                        <w:left w:val="none" w:sz="0" w:space="0" w:color="auto"/>
                        <w:bottom w:val="none" w:sz="0" w:space="0" w:color="auto"/>
                        <w:right w:val="none" w:sz="0" w:space="0" w:color="auto"/>
                      </w:divBdr>
                    </w:div>
                    <w:div w:id="1830518086">
                      <w:marLeft w:val="0"/>
                      <w:marRight w:val="0"/>
                      <w:marTop w:val="0"/>
                      <w:marBottom w:val="0"/>
                      <w:divBdr>
                        <w:top w:val="none" w:sz="0" w:space="0" w:color="auto"/>
                        <w:left w:val="none" w:sz="0" w:space="0" w:color="auto"/>
                        <w:bottom w:val="none" w:sz="0" w:space="0" w:color="auto"/>
                        <w:right w:val="none" w:sz="0" w:space="0" w:color="auto"/>
                      </w:divBdr>
                    </w:div>
                    <w:div w:id="1472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com/gadfly/articles/2017-04-23/u-s-shale-s-the-wild-horse-that-opec-just-can-t-tame" TargetMode="External"/><Relationship Id="rId11" Type="http://schemas.openxmlformats.org/officeDocument/2006/relationships/theme" Target="theme/theme1.xml"/><Relationship Id="rId5" Type="http://schemas.openxmlformats.org/officeDocument/2006/relationships/hyperlink" Target="https://www.bloomberg.com/gadfly/columnists/ABxHZA50-mw/julian-le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Parkes</cp:lastModifiedBy>
  <cp:revision>6</cp:revision>
  <dcterms:created xsi:type="dcterms:W3CDTF">2017-04-23T19:09:00Z</dcterms:created>
  <dcterms:modified xsi:type="dcterms:W3CDTF">2017-04-24T19:22:00Z</dcterms:modified>
</cp:coreProperties>
</file>